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9F1F" w14:textId="77777777" w:rsidR="00905514" w:rsidRDefault="00905514" w:rsidP="009D25AE">
      <w:pPr>
        <w:spacing w:after="0" w:line="240" w:lineRule="auto"/>
        <w:rPr>
          <w:rFonts w:ascii="Arial" w:hAnsi="Arial" w:cs="Arial"/>
          <w:sz w:val="24"/>
          <w:szCs w:val="24"/>
        </w:rPr>
      </w:pPr>
    </w:p>
    <w:p w14:paraId="2340B533" w14:textId="77777777" w:rsidR="00905514" w:rsidRDefault="00905514" w:rsidP="009D25AE">
      <w:pPr>
        <w:spacing w:after="0" w:line="240" w:lineRule="auto"/>
        <w:rPr>
          <w:rFonts w:ascii="Arial" w:hAnsi="Arial" w:cs="Arial"/>
          <w:sz w:val="24"/>
          <w:szCs w:val="24"/>
        </w:rPr>
      </w:pPr>
    </w:p>
    <w:p w14:paraId="7A736D88" w14:textId="77777777" w:rsidR="00905514" w:rsidRDefault="00905514" w:rsidP="009D25AE">
      <w:pPr>
        <w:spacing w:after="0" w:line="240" w:lineRule="auto"/>
        <w:rPr>
          <w:rFonts w:ascii="Arial" w:hAnsi="Arial" w:cs="Arial"/>
          <w:sz w:val="24"/>
          <w:szCs w:val="24"/>
        </w:rPr>
      </w:pPr>
    </w:p>
    <w:p w14:paraId="773F0BDC" w14:textId="04743DCC" w:rsidR="009D25AE" w:rsidRPr="009D25AE" w:rsidRDefault="009D25AE" w:rsidP="009D25AE">
      <w:pPr>
        <w:spacing w:after="0" w:line="240" w:lineRule="auto"/>
        <w:rPr>
          <w:rFonts w:ascii="Arial" w:hAnsi="Arial" w:cs="Arial"/>
          <w:sz w:val="24"/>
          <w:szCs w:val="24"/>
        </w:rPr>
      </w:pPr>
      <w:bookmarkStart w:id="0" w:name="_GoBack"/>
      <w:bookmarkEnd w:id="0"/>
      <w:r w:rsidRPr="009D25AE">
        <w:rPr>
          <w:rFonts w:ascii="Arial" w:hAnsi="Arial" w:cs="Arial"/>
          <w:sz w:val="24"/>
          <w:szCs w:val="24"/>
        </w:rPr>
        <w:t>January 6, 2019</w:t>
      </w:r>
    </w:p>
    <w:p w14:paraId="48B6F15B" w14:textId="77777777" w:rsidR="009D25AE" w:rsidRPr="009D25AE" w:rsidRDefault="009D25AE" w:rsidP="009D25AE">
      <w:pPr>
        <w:spacing w:after="0" w:line="240" w:lineRule="auto"/>
        <w:rPr>
          <w:rFonts w:ascii="Arial" w:hAnsi="Arial" w:cs="Arial"/>
          <w:sz w:val="24"/>
          <w:szCs w:val="24"/>
        </w:rPr>
      </w:pPr>
    </w:p>
    <w:p w14:paraId="2D560268" w14:textId="77777777" w:rsidR="009D25AE" w:rsidRPr="009D25AE" w:rsidRDefault="009D25AE" w:rsidP="009D25AE">
      <w:pPr>
        <w:spacing w:after="0" w:line="240" w:lineRule="auto"/>
        <w:rPr>
          <w:rFonts w:ascii="Arial" w:hAnsi="Arial" w:cs="Arial"/>
          <w:sz w:val="24"/>
          <w:szCs w:val="24"/>
        </w:rPr>
      </w:pPr>
      <w:r w:rsidRPr="009D25AE">
        <w:rPr>
          <w:rFonts w:ascii="Arial" w:hAnsi="Arial" w:cs="Arial"/>
          <w:sz w:val="24"/>
          <w:szCs w:val="24"/>
        </w:rPr>
        <w:t>Ms. Tammy DeWitt</w:t>
      </w:r>
    </w:p>
    <w:p w14:paraId="57A71B28" w14:textId="77777777" w:rsidR="009D25AE" w:rsidRPr="009D25AE" w:rsidRDefault="009D25AE" w:rsidP="009D25AE">
      <w:pPr>
        <w:spacing w:after="0" w:line="240" w:lineRule="auto"/>
        <w:rPr>
          <w:rFonts w:ascii="Arial" w:hAnsi="Arial" w:cs="Arial"/>
          <w:sz w:val="24"/>
          <w:szCs w:val="24"/>
        </w:rPr>
      </w:pPr>
      <w:r w:rsidRPr="009D25AE">
        <w:rPr>
          <w:rFonts w:ascii="Arial" w:hAnsi="Arial" w:cs="Arial"/>
          <w:sz w:val="24"/>
          <w:szCs w:val="24"/>
        </w:rPr>
        <w:t>Yavapai County</w:t>
      </w:r>
    </w:p>
    <w:p w14:paraId="40C9C365" w14:textId="77777777" w:rsidR="009D25AE" w:rsidRPr="009D25AE" w:rsidRDefault="009D25AE" w:rsidP="009D25AE">
      <w:pPr>
        <w:spacing w:after="0" w:line="240" w:lineRule="auto"/>
        <w:rPr>
          <w:rFonts w:ascii="Arial" w:hAnsi="Arial" w:cs="Arial"/>
          <w:sz w:val="24"/>
          <w:szCs w:val="24"/>
        </w:rPr>
      </w:pPr>
      <w:r w:rsidRPr="009D25AE">
        <w:rPr>
          <w:rFonts w:ascii="Arial" w:hAnsi="Arial" w:cs="Arial"/>
          <w:sz w:val="24"/>
          <w:szCs w:val="24"/>
        </w:rPr>
        <w:t>Planning Department/Development Services</w:t>
      </w:r>
    </w:p>
    <w:p w14:paraId="1759C8D2" w14:textId="77777777" w:rsidR="009D25AE" w:rsidRPr="009D25AE" w:rsidRDefault="009D25AE" w:rsidP="009D25AE">
      <w:pPr>
        <w:spacing w:after="0" w:line="240" w:lineRule="auto"/>
        <w:rPr>
          <w:rFonts w:ascii="Arial" w:hAnsi="Arial" w:cs="Arial"/>
          <w:sz w:val="24"/>
          <w:szCs w:val="24"/>
        </w:rPr>
      </w:pPr>
      <w:r w:rsidRPr="009D25AE">
        <w:rPr>
          <w:rFonts w:ascii="Arial" w:hAnsi="Arial" w:cs="Arial"/>
          <w:sz w:val="24"/>
          <w:szCs w:val="24"/>
        </w:rPr>
        <w:t>10 S. 6</w:t>
      </w:r>
      <w:r w:rsidRPr="009D25AE">
        <w:rPr>
          <w:rFonts w:ascii="Arial" w:hAnsi="Arial" w:cs="Arial"/>
          <w:sz w:val="24"/>
          <w:szCs w:val="24"/>
          <w:vertAlign w:val="superscript"/>
        </w:rPr>
        <w:t>th</w:t>
      </w:r>
      <w:r w:rsidRPr="009D25AE">
        <w:rPr>
          <w:rFonts w:ascii="Arial" w:hAnsi="Arial" w:cs="Arial"/>
          <w:sz w:val="24"/>
          <w:szCs w:val="24"/>
        </w:rPr>
        <w:t xml:space="preserve"> St.</w:t>
      </w:r>
    </w:p>
    <w:p w14:paraId="6A79CC92" w14:textId="77777777" w:rsidR="009D25AE" w:rsidRPr="009D25AE" w:rsidRDefault="009D25AE" w:rsidP="009D25AE">
      <w:pPr>
        <w:spacing w:after="0" w:line="240" w:lineRule="auto"/>
        <w:rPr>
          <w:rFonts w:ascii="Arial" w:hAnsi="Arial" w:cs="Arial"/>
          <w:sz w:val="24"/>
          <w:szCs w:val="24"/>
        </w:rPr>
      </w:pPr>
      <w:r w:rsidRPr="009D25AE">
        <w:rPr>
          <w:rFonts w:ascii="Arial" w:hAnsi="Arial" w:cs="Arial"/>
          <w:sz w:val="24"/>
          <w:szCs w:val="24"/>
        </w:rPr>
        <w:t>Cottonwood, AZ 86326</w:t>
      </w:r>
    </w:p>
    <w:p w14:paraId="5DA9E44A" w14:textId="77777777" w:rsidR="009D25AE" w:rsidRPr="009D25AE" w:rsidRDefault="009D25AE" w:rsidP="009D25AE">
      <w:pPr>
        <w:spacing w:after="0" w:line="240" w:lineRule="auto"/>
        <w:rPr>
          <w:rFonts w:ascii="Arial" w:hAnsi="Arial" w:cs="Arial"/>
          <w:sz w:val="24"/>
          <w:szCs w:val="24"/>
        </w:rPr>
      </w:pPr>
    </w:p>
    <w:p w14:paraId="59A7D042" w14:textId="77777777" w:rsidR="009D25AE" w:rsidRPr="009D25AE" w:rsidRDefault="009D25AE" w:rsidP="009D25AE">
      <w:pPr>
        <w:spacing w:after="0" w:line="240" w:lineRule="auto"/>
        <w:ind w:firstLine="720"/>
        <w:rPr>
          <w:rFonts w:ascii="Arial" w:hAnsi="Arial" w:cs="Arial"/>
          <w:sz w:val="24"/>
          <w:szCs w:val="24"/>
        </w:rPr>
      </w:pPr>
      <w:r w:rsidRPr="009D25AE">
        <w:rPr>
          <w:rFonts w:ascii="Arial" w:hAnsi="Arial" w:cs="Arial"/>
          <w:sz w:val="24"/>
          <w:szCs w:val="24"/>
        </w:rPr>
        <w:t>Re: El Rojo Grande Ranch</w:t>
      </w:r>
    </w:p>
    <w:p w14:paraId="15ED6AF7" w14:textId="77777777" w:rsidR="009D25AE" w:rsidRPr="009D25AE" w:rsidRDefault="009D25AE" w:rsidP="009D25AE">
      <w:pPr>
        <w:spacing w:after="0" w:line="240" w:lineRule="auto"/>
        <w:rPr>
          <w:rFonts w:ascii="Arial" w:hAnsi="Arial" w:cs="Arial"/>
          <w:sz w:val="24"/>
          <w:szCs w:val="24"/>
        </w:rPr>
      </w:pPr>
    </w:p>
    <w:p w14:paraId="502D4A4A" w14:textId="77777777" w:rsidR="009D25AE" w:rsidRPr="009D25AE" w:rsidRDefault="009D25AE" w:rsidP="009D25AE">
      <w:pPr>
        <w:spacing w:after="0" w:line="240" w:lineRule="auto"/>
        <w:rPr>
          <w:rFonts w:ascii="Arial" w:hAnsi="Arial" w:cs="Arial"/>
          <w:sz w:val="24"/>
          <w:szCs w:val="24"/>
        </w:rPr>
      </w:pPr>
    </w:p>
    <w:p w14:paraId="7487DA70" w14:textId="60FF206B" w:rsidR="009D25AE" w:rsidRPr="009D25AE" w:rsidRDefault="009D25AE" w:rsidP="009D25AE">
      <w:pPr>
        <w:spacing w:after="0" w:line="240" w:lineRule="auto"/>
        <w:rPr>
          <w:rFonts w:ascii="Arial" w:hAnsi="Arial" w:cs="Arial"/>
          <w:sz w:val="24"/>
          <w:szCs w:val="24"/>
        </w:rPr>
      </w:pPr>
      <w:r w:rsidRPr="009D25AE">
        <w:rPr>
          <w:rFonts w:ascii="Arial" w:hAnsi="Arial" w:cs="Arial"/>
          <w:sz w:val="24"/>
          <w:szCs w:val="24"/>
        </w:rPr>
        <w:t xml:space="preserve">Dear </w:t>
      </w:r>
      <w:r>
        <w:rPr>
          <w:rFonts w:ascii="Arial" w:hAnsi="Arial" w:cs="Arial"/>
          <w:sz w:val="24"/>
          <w:szCs w:val="24"/>
        </w:rPr>
        <w:t xml:space="preserve">Ms. DeWitt and </w:t>
      </w:r>
      <w:r w:rsidRPr="009D25AE">
        <w:rPr>
          <w:rFonts w:ascii="Arial" w:hAnsi="Arial" w:cs="Arial"/>
          <w:sz w:val="24"/>
          <w:szCs w:val="24"/>
        </w:rPr>
        <w:t>Members of the Planning Board,</w:t>
      </w:r>
    </w:p>
    <w:p w14:paraId="3DD8EF4A" w14:textId="368B94D8" w:rsidR="00B22150" w:rsidRDefault="00B22150" w:rsidP="009D25AE">
      <w:pPr>
        <w:spacing w:after="0" w:line="240" w:lineRule="auto"/>
        <w:rPr>
          <w:rFonts w:ascii="Arial" w:hAnsi="Arial" w:cs="Arial"/>
        </w:rPr>
      </w:pPr>
    </w:p>
    <w:p w14:paraId="7B73B032" w14:textId="2D5EB9AA" w:rsidR="009D25AE" w:rsidRDefault="009D25AE" w:rsidP="009D25AE">
      <w:pPr>
        <w:spacing w:after="0" w:line="240" w:lineRule="auto"/>
        <w:rPr>
          <w:rFonts w:ascii="Arial" w:hAnsi="Arial" w:cs="Arial"/>
        </w:rPr>
      </w:pPr>
      <w:r>
        <w:rPr>
          <w:rFonts w:ascii="Arial" w:hAnsi="Arial" w:cs="Arial"/>
        </w:rPr>
        <w:t>It is my intention to let it be known my opposition to the requested zoning change to El Rojo Grande Ranch in an effort to help preserve the natural beauty and viability of the watershed of Oak Creek and the Verde River, one of the last free-flowing rivers in Arizona, providing crucial habitat for fish and wildlife and provides clean drinking water to over 2 million people.</w:t>
      </w:r>
    </w:p>
    <w:p w14:paraId="2605818E" w14:textId="3C47F369" w:rsidR="009D25AE" w:rsidRDefault="009D25AE" w:rsidP="009D25AE">
      <w:pPr>
        <w:spacing w:after="0" w:line="240" w:lineRule="auto"/>
        <w:rPr>
          <w:rFonts w:ascii="Arial" w:hAnsi="Arial" w:cs="Arial"/>
        </w:rPr>
      </w:pPr>
    </w:p>
    <w:p w14:paraId="2F51E048" w14:textId="23712B98" w:rsidR="009D25AE" w:rsidRDefault="009D25AE" w:rsidP="009D25AE">
      <w:pPr>
        <w:spacing w:after="0" w:line="240" w:lineRule="auto"/>
        <w:rPr>
          <w:rFonts w:ascii="Arial" w:hAnsi="Arial" w:cs="Arial"/>
        </w:rPr>
      </w:pPr>
      <w:r>
        <w:rPr>
          <w:rFonts w:ascii="Arial" w:hAnsi="Arial" w:cs="Arial"/>
        </w:rPr>
        <w:t>To echo the statement made by the Sierra Club, one of the oldest and most influential grassroots environmental organizations in the United States, our shared concerns, to name a few are:</w:t>
      </w:r>
    </w:p>
    <w:p w14:paraId="47A239EA" w14:textId="35949BBA" w:rsidR="009D25AE" w:rsidRDefault="009D25AE" w:rsidP="009D25AE">
      <w:pPr>
        <w:spacing w:after="0" w:line="240" w:lineRule="auto"/>
        <w:rPr>
          <w:rFonts w:ascii="Arial" w:hAnsi="Arial" w:cs="Arial"/>
        </w:rPr>
      </w:pPr>
    </w:p>
    <w:p w14:paraId="2127009E" w14:textId="78964C20" w:rsidR="009D25AE" w:rsidRPr="000037B3" w:rsidRDefault="009D25AE" w:rsidP="000037B3">
      <w:pPr>
        <w:pStyle w:val="ListParagraph"/>
        <w:numPr>
          <w:ilvl w:val="0"/>
          <w:numId w:val="1"/>
        </w:numPr>
        <w:spacing w:after="0" w:line="240" w:lineRule="auto"/>
        <w:rPr>
          <w:rFonts w:ascii="Arial" w:hAnsi="Arial" w:cs="Arial"/>
        </w:rPr>
      </w:pPr>
      <w:r w:rsidRPr="000037B3">
        <w:rPr>
          <w:rFonts w:ascii="Arial" w:hAnsi="Arial" w:cs="Arial"/>
        </w:rPr>
        <w:t>Depletion and contamination of the water aquifers;</w:t>
      </w:r>
    </w:p>
    <w:p w14:paraId="38F35F36" w14:textId="2504A9A9" w:rsidR="009D25AE" w:rsidRPr="000037B3" w:rsidRDefault="009D25AE" w:rsidP="000037B3">
      <w:pPr>
        <w:pStyle w:val="ListParagraph"/>
        <w:numPr>
          <w:ilvl w:val="0"/>
          <w:numId w:val="1"/>
        </w:numPr>
        <w:spacing w:after="0" w:line="240" w:lineRule="auto"/>
        <w:rPr>
          <w:rFonts w:ascii="Arial" w:hAnsi="Arial" w:cs="Arial"/>
        </w:rPr>
      </w:pPr>
      <w:r w:rsidRPr="000037B3">
        <w:rPr>
          <w:rFonts w:ascii="Arial" w:hAnsi="Arial" w:cs="Arial"/>
        </w:rPr>
        <w:t>Considering the Dry Creek, a documented wil</w:t>
      </w:r>
      <w:r w:rsidR="000037B3" w:rsidRPr="000037B3">
        <w:rPr>
          <w:rFonts w:ascii="Arial" w:hAnsi="Arial" w:cs="Arial"/>
        </w:rPr>
        <w:t>dlife corridor, flowing into the protected Unique Waterway of Oak Creek, there will be contamination by wastewater and runoff from roads and concrete mobile home pads.  The protection of Oak Cree waterway/corridor is paramount to the communities that lie downstream in the Verde Valley;</w:t>
      </w:r>
    </w:p>
    <w:p w14:paraId="3EED6E0B" w14:textId="59F8FCB3" w:rsidR="000037B3" w:rsidRPr="000037B3" w:rsidRDefault="000037B3" w:rsidP="000037B3">
      <w:pPr>
        <w:pStyle w:val="ListParagraph"/>
        <w:numPr>
          <w:ilvl w:val="0"/>
          <w:numId w:val="1"/>
        </w:numPr>
        <w:spacing w:after="0" w:line="240" w:lineRule="auto"/>
        <w:rPr>
          <w:rFonts w:ascii="Arial" w:hAnsi="Arial" w:cs="Arial"/>
        </w:rPr>
      </w:pPr>
      <w:r w:rsidRPr="000037B3">
        <w:rPr>
          <w:rFonts w:ascii="Arial" w:hAnsi="Arial" w:cs="Arial"/>
        </w:rPr>
        <w:t>Negative environmental impact on the US Forest Service Land surrounding the proposed project;</w:t>
      </w:r>
    </w:p>
    <w:p w14:paraId="400345E7" w14:textId="3D503A71" w:rsidR="000037B3" w:rsidRPr="000037B3" w:rsidRDefault="000037B3" w:rsidP="000037B3">
      <w:pPr>
        <w:pStyle w:val="ListParagraph"/>
        <w:numPr>
          <w:ilvl w:val="0"/>
          <w:numId w:val="1"/>
        </w:numPr>
        <w:spacing w:after="0" w:line="240" w:lineRule="auto"/>
        <w:rPr>
          <w:rFonts w:ascii="Arial" w:hAnsi="Arial" w:cs="Arial"/>
        </w:rPr>
      </w:pPr>
      <w:r w:rsidRPr="000037B3">
        <w:rPr>
          <w:rFonts w:ascii="Arial" w:hAnsi="Arial" w:cs="Arial"/>
        </w:rPr>
        <w:t>The Forest Service intent for the 43.29</w:t>
      </w:r>
      <w:r w:rsidR="00905514">
        <w:rPr>
          <w:rFonts w:ascii="Arial" w:hAnsi="Arial" w:cs="Arial"/>
        </w:rPr>
        <w:t>-</w:t>
      </w:r>
      <w:r w:rsidRPr="000037B3">
        <w:rPr>
          <w:rFonts w:ascii="Arial" w:hAnsi="Arial" w:cs="Arial"/>
        </w:rPr>
        <w:t>acre (parcel # 13-408-29-276-5) land exchange was not for commercial development;</w:t>
      </w:r>
    </w:p>
    <w:p w14:paraId="7C19DBCE" w14:textId="5D5FD39C" w:rsidR="000037B3" w:rsidRPr="000037B3" w:rsidRDefault="000037B3" w:rsidP="000037B3">
      <w:pPr>
        <w:pStyle w:val="ListParagraph"/>
        <w:numPr>
          <w:ilvl w:val="0"/>
          <w:numId w:val="1"/>
        </w:numPr>
        <w:spacing w:after="0" w:line="240" w:lineRule="auto"/>
        <w:rPr>
          <w:rFonts w:ascii="Arial" w:hAnsi="Arial" w:cs="Arial"/>
        </w:rPr>
      </w:pPr>
      <w:r w:rsidRPr="000037B3">
        <w:rPr>
          <w:rFonts w:ascii="Arial" w:hAnsi="Arial" w:cs="Arial"/>
        </w:rPr>
        <w:t>Devastation of the fragile riparian environment, wildlife habitat and native trees;</w:t>
      </w:r>
    </w:p>
    <w:p w14:paraId="4045FFA2" w14:textId="509D122F" w:rsidR="000037B3" w:rsidRPr="000037B3" w:rsidRDefault="000037B3" w:rsidP="000037B3">
      <w:pPr>
        <w:pStyle w:val="ListParagraph"/>
        <w:numPr>
          <w:ilvl w:val="0"/>
          <w:numId w:val="1"/>
        </w:numPr>
        <w:spacing w:after="0" w:line="240" w:lineRule="auto"/>
        <w:rPr>
          <w:rFonts w:ascii="Arial" w:hAnsi="Arial" w:cs="Arial"/>
        </w:rPr>
      </w:pPr>
      <w:r w:rsidRPr="000037B3">
        <w:rPr>
          <w:rFonts w:ascii="Arial" w:hAnsi="Arial" w:cs="Arial"/>
        </w:rPr>
        <w:t>Increased density means increased impact on the land.  Adjacent developments did not get a zoning change, but rather a Special Use Permit instead.</w:t>
      </w:r>
    </w:p>
    <w:p w14:paraId="34CF7369" w14:textId="158B50EC" w:rsidR="000037B3" w:rsidRDefault="000037B3" w:rsidP="009D25AE">
      <w:pPr>
        <w:spacing w:after="0" w:line="240" w:lineRule="auto"/>
        <w:rPr>
          <w:rFonts w:ascii="Arial" w:hAnsi="Arial" w:cs="Arial"/>
        </w:rPr>
      </w:pPr>
    </w:p>
    <w:p w14:paraId="1CAC360B" w14:textId="314DDB08" w:rsidR="000037B3" w:rsidRDefault="000037B3" w:rsidP="009D25AE">
      <w:pPr>
        <w:spacing w:after="0" w:line="240" w:lineRule="auto"/>
        <w:rPr>
          <w:rFonts w:ascii="Arial" w:hAnsi="Arial" w:cs="Arial"/>
        </w:rPr>
      </w:pPr>
      <w:r>
        <w:rPr>
          <w:rFonts w:ascii="Arial" w:hAnsi="Arial" w:cs="Arial"/>
        </w:rPr>
        <w:t>El Rojo Grande Ranch, Sedona, and Yavapai County deserve a project that is sensitive and respectful to the land it stewards.  Development may be inevitable, but some rules should apply.  Decisions should set an example, not create critical disruption, both visually and environmentally.  I do not</w:t>
      </w:r>
      <w:r w:rsidR="00905514">
        <w:rPr>
          <w:rFonts w:ascii="Arial" w:hAnsi="Arial" w:cs="Arial"/>
        </w:rPr>
        <w:t xml:space="preserve"> feel the ELS proposed project is an appropriate use for this land and I urge you to deny the zoning change application.</w:t>
      </w:r>
    </w:p>
    <w:p w14:paraId="12D89E25" w14:textId="1B37BBEC" w:rsidR="00905514" w:rsidRDefault="00905514" w:rsidP="009D25AE">
      <w:pPr>
        <w:spacing w:after="0" w:line="240" w:lineRule="auto"/>
        <w:rPr>
          <w:rFonts w:ascii="Arial" w:hAnsi="Arial" w:cs="Arial"/>
        </w:rPr>
      </w:pPr>
    </w:p>
    <w:p w14:paraId="44311557" w14:textId="74B28E51" w:rsidR="00905514" w:rsidRDefault="00905514" w:rsidP="009D25AE">
      <w:pPr>
        <w:spacing w:after="0" w:line="240" w:lineRule="auto"/>
        <w:rPr>
          <w:rFonts w:ascii="Arial" w:hAnsi="Arial" w:cs="Arial"/>
        </w:rPr>
      </w:pPr>
      <w:r>
        <w:rPr>
          <w:rFonts w:ascii="Arial" w:hAnsi="Arial" w:cs="Arial"/>
        </w:rPr>
        <w:t>Sincerely,</w:t>
      </w:r>
    </w:p>
    <w:p w14:paraId="010AA10E" w14:textId="0FD151A8" w:rsidR="00905514" w:rsidRDefault="00905514" w:rsidP="009D25AE">
      <w:pPr>
        <w:spacing w:after="0" w:line="240" w:lineRule="auto"/>
        <w:rPr>
          <w:rFonts w:ascii="Arial" w:hAnsi="Arial" w:cs="Arial"/>
        </w:rPr>
      </w:pPr>
    </w:p>
    <w:p w14:paraId="6C365D04" w14:textId="7C9B56A0" w:rsidR="00905514" w:rsidRDefault="00905514" w:rsidP="009D25AE">
      <w:pPr>
        <w:spacing w:after="0" w:line="240" w:lineRule="auto"/>
        <w:rPr>
          <w:rFonts w:ascii="Arial" w:hAnsi="Arial" w:cs="Arial"/>
        </w:rPr>
      </w:pPr>
    </w:p>
    <w:p w14:paraId="6E573D92" w14:textId="77777777" w:rsidR="00905514" w:rsidRPr="009D25AE" w:rsidRDefault="00905514" w:rsidP="009D25AE">
      <w:pPr>
        <w:spacing w:after="0" w:line="240" w:lineRule="auto"/>
        <w:rPr>
          <w:rFonts w:ascii="Arial" w:hAnsi="Arial" w:cs="Arial"/>
        </w:rPr>
      </w:pPr>
    </w:p>
    <w:sectPr w:rsidR="00905514" w:rsidRPr="009D2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C4EA1"/>
    <w:multiLevelType w:val="hybridMultilevel"/>
    <w:tmpl w:val="71B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AE"/>
    <w:rsid w:val="000037B3"/>
    <w:rsid w:val="00905514"/>
    <w:rsid w:val="009D25AE"/>
    <w:rsid w:val="00B2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0F00"/>
  <w15:chartTrackingRefBased/>
  <w15:docId w15:val="{18AD1646-9D02-4F60-AF4F-562EB6EE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Lorenzo</dc:creator>
  <cp:keywords/>
  <dc:description/>
  <cp:lastModifiedBy>Dawn Lorenzo</cp:lastModifiedBy>
  <cp:revision>1</cp:revision>
  <dcterms:created xsi:type="dcterms:W3CDTF">2019-01-06T22:21:00Z</dcterms:created>
  <dcterms:modified xsi:type="dcterms:W3CDTF">2019-01-06T22:44:00Z</dcterms:modified>
</cp:coreProperties>
</file>